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8E8" w:rsidRPr="000E60A3" w:rsidRDefault="0045796D">
      <w:pPr>
        <w:rPr>
          <w:rFonts w:asciiTheme="majorBidi" w:hAnsiTheme="majorBidi" w:cstheme="majorBidi"/>
          <w:b/>
          <w:bCs/>
          <w:sz w:val="28"/>
          <w:szCs w:val="28"/>
          <w:rtl/>
        </w:rPr>
      </w:pPr>
      <w:r>
        <w:rPr>
          <w:rFonts w:asciiTheme="majorBidi" w:hAnsiTheme="majorBidi" w:cstheme="majorBidi"/>
          <w:b/>
          <w:bCs/>
          <w:sz w:val="28"/>
          <w:szCs w:val="28"/>
        </w:rPr>
        <w:t xml:space="preserve">I-  </w:t>
      </w:r>
      <w:r w:rsidR="00A878E8" w:rsidRPr="000E60A3">
        <w:rPr>
          <w:rFonts w:asciiTheme="majorBidi" w:hAnsiTheme="majorBidi" w:cstheme="majorBidi"/>
          <w:b/>
          <w:bCs/>
          <w:sz w:val="28"/>
          <w:szCs w:val="28"/>
        </w:rPr>
        <w:t>Solutions</w:t>
      </w:r>
      <w:r w:rsidR="000E60A3" w:rsidRPr="000E60A3">
        <w:rPr>
          <w:rFonts w:asciiTheme="majorBidi" w:hAnsiTheme="majorBidi" w:cstheme="majorBidi"/>
          <w:b/>
          <w:bCs/>
          <w:sz w:val="28"/>
          <w:szCs w:val="28"/>
        </w:rPr>
        <w:t xml:space="preserve"> des exercices : Comment rédiger un  rapport</w:t>
      </w:r>
    </w:p>
    <w:p w:rsidR="003C170F" w:rsidRPr="000E60A3" w:rsidRDefault="00A878E8" w:rsidP="00A878E8">
      <w:pPr>
        <w:rPr>
          <w:rFonts w:asciiTheme="majorBidi" w:hAnsiTheme="majorBidi" w:cstheme="majorBidi"/>
          <w:b/>
          <w:bCs/>
          <w:sz w:val="24"/>
          <w:szCs w:val="24"/>
          <w:u w:val="single"/>
          <w:rtl/>
        </w:rPr>
      </w:pPr>
      <w:r w:rsidRPr="000E60A3">
        <w:rPr>
          <w:rFonts w:asciiTheme="majorBidi" w:hAnsiTheme="majorBidi" w:cstheme="majorBidi"/>
          <w:b/>
          <w:bCs/>
          <w:sz w:val="24"/>
          <w:szCs w:val="24"/>
          <w:u w:val="single"/>
        </w:rPr>
        <w:t xml:space="preserve"> Exercice 1 </w:t>
      </w:r>
    </w:p>
    <w:tbl>
      <w:tblPr>
        <w:tblStyle w:val="Grilledutableau"/>
        <w:tblW w:w="0" w:type="auto"/>
        <w:tblLook w:val="04A0"/>
      </w:tblPr>
      <w:tblGrid>
        <w:gridCol w:w="1242"/>
        <w:gridCol w:w="1843"/>
        <w:gridCol w:w="6127"/>
      </w:tblGrid>
      <w:tr w:rsidR="00A878E8" w:rsidRPr="000E60A3" w:rsidTr="00A878E8">
        <w:tc>
          <w:tcPr>
            <w:tcW w:w="1242" w:type="dxa"/>
          </w:tcPr>
          <w:p w:rsidR="00A878E8" w:rsidRPr="000E60A3" w:rsidRDefault="00A878E8" w:rsidP="00A878E8">
            <w:pPr>
              <w:rPr>
                <w:rFonts w:asciiTheme="majorBidi" w:hAnsiTheme="majorBidi" w:cstheme="majorBidi"/>
                <w:b/>
                <w:bCs/>
                <w:sz w:val="24"/>
                <w:szCs w:val="24"/>
              </w:rPr>
            </w:pPr>
            <w:r w:rsidRPr="000E60A3">
              <w:rPr>
                <w:rFonts w:asciiTheme="majorBidi" w:hAnsiTheme="majorBidi" w:cstheme="majorBidi"/>
                <w:b/>
                <w:bCs/>
                <w:sz w:val="24"/>
                <w:szCs w:val="24"/>
              </w:rPr>
              <w:t>Options</w:t>
            </w:r>
          </w:p>
        </w:tc>
        <w:tc>
          <w:tcPr>
            <w:tcW w:w="1843" w:type="dxa"/>
          </w:tcPr>
          <w:p w:rsidR="00A878E8" w:rsidRPr="000E60A3" w:rsidRDefault="00A878E8" w:rsidP="00A878E8">
            <w:pPr>
              <w:rPr>
                <w:rFonts w:asciiTheme="majorBidi" w:hAnsiTheme="majorBidi" w:cstheme="majorBidi"/>
                <w:b/>
                <w:bCs/>
                <w:sz w:val="24"/>
                <w:szCs w:val="24"/>
              </w:rPr>
            </w:pPr>
            <w:r w:rsidRPr="000E60A3">
              <w:rPr>
                <w:rFonts w:asciiTheme="majorBidi" w:hAnsiTheme="majorBidi" w:cstheme="majorBidi"/>
                <w:b/>
                <w:bCs/>
                <w:sz w:val="24"/>
                <w:szCs w:val="24"/>
              </w:rPr>
              <w:t>Réponse correcte</w:t>
            </w:r>
          </w:p>
        </w:tc>
        <w:tc>
          <w:tcPr>
            <w:tcW w:w="6127" w:type="dxa"/>
          </w:tcPr>
          <w:p w:rsidR="00A878E8" w:rsidRPr="000E60A3" w:rsidRDefault="00A878E8" w:rsidP="00A878E8">
            <w:pPr>
              <w:rPr>
                <w:rFonts w:asciiTheme="majorBidi" w:hAnsiTheme="majorBidi" w:cstheme="majorBidi"/>
                <w:b/>
                <w:bCs/>
                <w:sz w:val="24"/>
                <w:szCs w:val="24"/>
              </w:rPr>
            </w:pPr>
            <w:r w:rsidRPr="000E60A3">
              <w:rPr>
                <w:rFonts w:asciiTheme="majorBidi" w:hAnsiTheme="majorBidi" w:cstheme="majorBidi"/>
                <w:b/>
                <w:bCs/>
                <w:sz w:val="24"/>
                <w:szCs w:val="24"/>
              </w:rPr>
              <w:t>Commentaire</w:t>
            </w:r>
          </w:p>
        </w:tc>
      </w:tr>
      <w:tr w:rsidR="00A878E8" w:rsidRPr="000E60A3" w:rsidTr="00A878E8">
        <w:tc>
          <w:tcPr>
            <w:tcW w:w="1242" w:type="dxa"/>
          </w:tcPr>
          <w:p w:rsidR="00A878E8" w:rsidRPr="000E60A3" w:rsidRDefault="00A878E8" w:rsidP="00A878E8">
            <w:pPr>
              <w:rPr>
                <w:rFonts w:asciiTheme="majorBidi" w:hAnsiTheme="majorBidi" w:cstheme="majorBidi"/>
                <w:sz w:val="24"/>
                <w:szCs w:val="24"/>
              </w:rPr>
            </w:pPr>
            <w:r w:rsidRPr="000E60A3">
              <w:rPr>
                <w:rFonts w:asciiTheme="majorBidi" w:hAnsiTheme="majorBidi" w:cstheme="majorBidi"/>
                <w:sz w:val="24"/>
                <w:szCs w:val="24"/>
              </w:rPr>
              <w:t>1</w:t>
            </w:r>
          </w:p>
        </w:tc>
        <w:tc>
          <w:tcPr>
            <w:tcW w:w="1843" w:type="dxa"/>
          </w:tcPr>
          <w:p w:rsidR="00A878E8" w:rsidRPr="000E60A3" w:rsidRDefault="00A878E8" w:rsidP="00A878E8">
            <w:pPr>
              <w:rPr>
                <w:rFonts w:asciiTheme="majorBidi" w:hAnsiTheme="majorBidi" w:cstheme="majorBidi"/>
                <w:sz w:val="24"/>
                <w:szCs w:val="24"/>
              </w:rPr>
            </w:pPr>
          </w:p>
        </w:tc>
        <w:tc>
          <w:tcPr>
            <w:tcW w:w="6127" w:type="dxa"/>
          </w:tcPr>
          <w:p w:rsidR="00A878E8" w:rsidRPr="000E60A3" w:rsidRDefault="00A878E8" w:rsidP="00A878E8">
            <w:pPr>
              <w:rPr>
                <w:rFonts w:asciiTheme="majorBidi" w:hAnsiTheme="majorBidi" w:cstheme="majorBidi"/>
                <w:sz w:val="24"/>
                <w:szCs w:val="24"/>
              </w:rPr>
            </w:pPr>
            <w:r w:rsidRPr="000E60A3">
              <w:rPr>
                <w:rFonts w:asciiTheme="majorBidi" w:hAnsiTheme="majorBidi" w:cstheme="majorBidi"/>
                <w:sz w:val="24"/>
                <w:szCs w:val="24"/>
              </w:rPr>
              <w:t>C’est seulement après avoir décidé et préparé le contenu de votre rapport que vous serez en mesure de rédiger l’introduction et la conclusion. Vous saurez alors, en fonction de la longueur de votre document, si un résumé est nécessaire.</w:t>
            </w:r>
          </w:p>
        </w:tc>
      </w:tr>
      <w:tr w:rsidR="00A878E8" w:rsidRPr="000E60A3" w:rsidTr="00A878E8">
        <w:tc>
          <w:tcPr>
            <w:tcW w:w="1242" w:type="dxa"/>
          </w:tcPr>
          <w:p w:rsidR="00A878E8" w:rsidRPr="000E60A3" w:rsidRDefault="00A878E8" w:rsidP="00A878E8">
            <w:pPr>
              <w:rPr>
                <w:rFonts w:asciiTheme="majorBidi" w:hAnsiTheme="majorBidi" w:cstheme="majorBidi"/>
                <w:sz w:val="24"/>
                <w:szCs w:val="24"/>
              </w:rPr>
            </w:pPr>
            <w:r w:rsidRPr="000E60A3">
              <w:rPr>
                <w:rFonts w:asciiTheme="majorBidi" w:hAnsiTheme="majorBidi" w:cstheme="majorBidi"/>
                <w:sz w:val="24"/>
                <w:szCs w:val="24"/>
              </w:rPr>
              <w:t>2</w:t>
            </w:r>
          </w:p>
        </w:tc>
        <w:tc>
          <w:tcPr>
            <w:tcW w:w="1843" w:type="dxa"/>
          </w:tcPr>
          <w:p w:rsidR="00A878E8" w:rsidRPr="000E60A3" w:rsidRDefault="00A878E8" w:rsidP="00A878E8">
            <w:pPr>
              <w:pStyle w:val="Paragraphedeliste"/>
              <w:numPr>
                <w:ilvl w:val="0"/>
                <w:numId w:val="1"/>
              </w:numPr>
              <w:rPr>
                <w:rFonts w:asciiTheme="majorBidi" w:hAnsiTheme="majorBidi" w:cstheme="majorBidi"/>
                <w:sz w:val="24"/>
                <w:szCs w:val="24"/>
              </w:rPr>
            </w:pPr>
          </w:p>
        </w:tc>
        <w:tc>
          <w:tcPr>
            <w:tcW w:w="6127" w:type="dxa"/>
          </w:tcPr>
          <w:p w:rsidR="00A878E8" w:rsidRPr="000E60A3" w:rsidRDefault="00A878E8" w:rsidP="00A878E8">
            <w:pPr>
              <w:rPr>
                <w:rFonts w:asciiTheme="majorBidi" w:hAnsiTheme="majorBidi" w:cstheme="majorBidi"/>
                <w:sz w:val="24"/>
                <w:szCs w:val="24"/>
              </w:rPr>
            </w:pPr>
            <w:r w:rsidRPr="000E60A3">
              <w:rPr>
                <w:rFonts w:asciiTheme="majorBidi" w:hAnsiTheme="majorBidi" w:cstheme="majorBidi"/>
                <w:sz w:val="24"/>
                <w:szCs w:val="24"/>
              </w:rPr>
              <w:t>Très bien. C’est seulement après avoir décidé et préparé le contenu de votre rapport que vous serez en mesure de rédiger l’introduction et la conclusion. Vous saurez alors, en fonction de la longueur de votre document, si un résumé est nécessaire.</w:t>
            </w:r>
          </w:p>
        </w:tc>
      </w:tr>
    </w:tbl>
    <w:p w:rsidR="00A878E8" w:rsidRPr="000E60A3" w:rsidRDefault="00A878E8" w:rsidP="00A878E8">
      <w:pPr>
        <w:rPr>
          <w:rFonts w:asciiTheme="majorBidi" w:hAnsiTheme="majorBidi" w:cstheme="majorBidi"/>
          <w:sz w:val="24"/>
          <w:szCs w:val="24"/>
        </w:rPr>
      </w:pPr>
    </w:p>
    <w:p w:rsidR="00A878E8" w:rsidRPr="000E60A3" w:rsidRDefault="00A878E8" w:rsidP="00A878E8">
      <w:pPr>
        <w:rPr>
          <w:rFonts w:asciiTheme="majorBidi" w:hAnsiTheme="majorBidi" w:cstheme="majorBidi"/>
          <w:b/>
          <w:bCs/>
          <w:sz w:val="24"/>
          <w:szCs w:val="24"/>
          <w:u w:val="single"/>
        </w:rPr>
      </w:pPr>
      <w:r w:rsidRPr="000E60A3">
        <w:rPr>
          <w:rFonts w:asciiTheme="majorBidi" w:hAnsiTheme="majorBidi" w:cstheme="majorBidi"/>
          <w:b/>
          <w:bCs/>
          <w:sz w:val="24"/>
          <w:szCs w:val="24"/>
          <w:u w:val="single"/>
        </w:rPr>
        <w:t>Exercice 2</w:t>
      </w:r>
    </w:p>
    <w:tbl>
      <w:tblPr>
        <w:tblStyle w:val="Grilledutableau"/>
        <w:tblW w:w="0" w:type="auto"/>
        <w:tblLook w:val="04A0"/>
      </w:tblPr>
      <w:tblGrid>
        <w:gridCol w:w="1384"/>
        <w:gridCol w:w="1706"/>
        <w:gridCol w:w="6127"/>
      </w:tblGrid>
      <w:tr w:rsidR="00A878E8" w:rsidRPr="000E60A3" w:rsidTr="000E60A3">
        <w:tc>
          <w:tcPr>
            <w:tcW w:w="1384" w:type="dxa"/>
          </w:tcPr>
          <w:p w:rsidR="00A878E8" w:rsidRPr="000E60A3" w:rsidRDefault="00A878E8" w:rsidP="009A586B">
            <w:pPr>
              <w:rPr>
                <w:rFonts w:asciiTheme="majorBidi" w:hAnsiTheme="majorBidi" w:cstheme="majorBidi"/>
                <w:b/>
                <w:bCs/>
                <w:sz w:val="24"/>
                <w:szCs w:val="24"/>
              </w:rPr>
            </w:pPr>
            <w:r w:rsidRPr="000E60A3">
              <w:rPr>
                <w:rFonts w:asciiTheme="majorBidi" w:hAnsiTheme="majorBidi" w:cstheme="majorBidi"/>
                <w:b/>
                <w:bCs/>
                <w:sz w:val="24"/>
                <w:szCs w:val="24"/>
              </w:rPr>
              <w:t>Options</w:t>
            </w:r>
          </w:p>
        </w:tc>
        <w:tc>
          <w:tcPr>
            <w:tcW w:w="1706" w:type="dxa"/>
          </w:tcPr>
          <w:p w:rsidR="00A878E8" w:rsidRPr="000E60A3" w:rsidRDefault="00A878E8" w:rsidP="009A586B">
            <w:pPr>
              <w:rPr>
                <w:rFonts w:asciiTheme="majorBidi" w:hAnsiTheme="majorBidi" w:cstheme="majorBidi"/>
                <w:b/>
                <w:bCs/>
                <w:sz w:val="24"/>
                <w:szCs w:val="24"/>
              </w:rPr>
            </w:pPr>
            <w:r w:rsidRPr="000E60A3">
              <w:rPr>
                <w:rFonts w:asciiTheme="majorBidi" w:hAnsiTheme="majorBidi" w:cstheme="majorBidi"/>
                <w:b/>
                <w:bCs/>
                <w:sz w:val="24"/>
                <w:szCs w:val="24"/>
              </w:rPr>
              <w:t xml:space="preserve">Réponse </w:t>
            </w:r>
            <w:r w:rsidR="000E60A3" w:rsidRPr="000E60A3">
              <w:rPr>
                <w:rFonts w:asciiTheme="majorBidi" w:hAnsiTheme="majorBidi" w:cstheme="majorBidi"/>
                <w:b/>
                <w:bCs/>
                <w:sz w:val="24"/>
                <w:szCs w:val="24"/>
              </w:rPr>
              <w:t xml:space="preserve">    </w:t>
            </w:r>
            <w:r w:rsidRPr="000E60A3">
              <w:rPr>
                <w:rFonts w:asciiTheme="majorBidi" w:hAnsiTheme="majorBidi" w:cstheme="majorBidi"/>
                <w:b/>
                <w:bCs/>
                <w:sz w:val="24"/>
                <w:szCs w:val="24"/>
              </w:rPr>
              <w:t>correcte</w:t>
            </w:r>
          </w:p>
        </w:tc>
        <w:tc>
          <w:tcPr>
            <w:tcW w:w="6127" w:type="dxa"/>
          </w:tcPr>
          <w:p w:rsidR="00A878E8" w:rsidRPr="000E60A3" w:rsidRDefault="00A878E8" w:rsidP="009A586B">
            <w:pPr>
              <w:rPr>
                <w:rFonts w:asciiTheme="majorBidi" w:hAnsiTheme="majorBidi" w:cstheme="majorBidi"/>
                <w:b/>
                <w:bCs/>
                <w:sz w:val="24"/>
                <w:szCs w:val="24"/>
              </w:rPr>
            </w:pPr>
            <w:r w:rsidRPr="000E60A3">
              <w:rPr>
                <w:rFonts w:asciiTheme="majorBidi" w:hAnsiTheme="majorBidi" w:cstheme="majorBidi"/>
                <w:b/>
                <w:bCs/>
                <w:sz w:val="24"/>
                <w:szCs w:val="24"/>
              </w:rPr>
              <w:t>Commentaire</w:t>
            </w:r>
          </w:p>
        </w:tc>
      </w:tr>
      <w:tr w:rsidR="00A878E8" w:rsidRPr="000E60A3" w:rsidTr="000E60A3">
        <w:tc>
          <w:tcPr>
            <w:tcW w:w="1384" w:type="dxa"/>
          </w:tcPr>
          <w:p w:rsidR="00A878E8"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1C, 2A, 3B</w:t>
            </w:r>
          </w:p>
        </w:tc>
        <w:tc>
          <w:tcPr>
            <w:tcW w:w="1706" w:type="dxa"/>
          </w:tcPr>
          <w:p w:rsidR="00A878E8" w:rsidRPr="000E60A3" w:rsidRDefault="00A878E8" w:rsidP="009A586B">
            <w:pPr>
              <w:pStyle w:val="Paragraphedeliste"/>
              <w:numPr>
                <w:ilvl w:val="0"/>
                <w:numId w:val="1"/>
              </w:numPr>
              <w:rPr>
                <w:rFonts w:asciiTheme="majorBidi" w:hAnsiTheme="majorBidi" w:cstheme="majorBidi"/>
                <w:sz w:val="24"/>
                <w:szCs w:val="24"/>
              </w:rPr>
            </w:pPr>
          </w:p>
        </w:tc>
        <w:tc>
          <w:tcPr>
            <w:tcW w:w="6127" w:type="dxa"/>
          </w:tcPr>
          <w:p w:rsidR="00A878E8"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Correct. Le rapport dans sa globalité suit un canevas inductif. Toutefois, à l’intérieur de ce canevas, vous pouvez utiliser d’autres types de séquences. Pour vous donner un autre exemple, votre introduction peut suivre une séquence déductive, puisque vous voulez fournir un contexte général au rapport sans entrer dans les détails.</w:t>
            </w:r>
          </w:p>
        </w:tc>
      </w:tr>
      <w:tr w:rsidR="00A878E8" w:rsidRPr="000E60A3" w:rsidTr="000E60A3">
        <w:tc>
          <w:tcPr>
            <w:tcW w:w="1384" w:type="dxa"/>
          </w:tcPr>
          <w:p w:rsidR="00A878E8"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1B, 2A, 3C</w:t>
            </w:r>
          </w:p>
        </w:tc>
        <w:tc>
          <w:tcPr>
            <w:tcW w:w="1706" w:type="dxa"/>
            <w:tcBorders>
              <w:right w:val="single" w:sz="4" w:space="0" w:color="auto"/>
            </w:tcBorders>
          </w:tcPr>
          <w:p w:rsidR="00A878E8"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Borders>
              <w:left w:val="single" w:sz="4" w:space="0" w:color="auto"/>
            </w:tcBorders>
          </w:tcPr>
          <w:p w:rsidR="00A878E8"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Mauvaise réponse</w:t>
            </w:r>
          </w:p>
        </w:tc>
      </w:tr>
      <w:tr w:rsidR="009A586B" w:rsidRPr="000E60A3" w:rsidTr="000E60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270"/>
        </w:trPr>
        <w:tc>
          <w:tcPr>
            <w:tcW w:w="1384"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1C, 2B, 3A</w:t>
            </w:r>
          </w:p>
        </w:tc>
        <w:tc>
          <w:tcPr>
            <w:tcW w:w="1706"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 xml:space="preserve"> Mauvaise réponse</w:t>
            </w:r>
          </w:p>
        </w:tc>
      </w:tr>
    </w:tbl>
    <w:p w:rsidR="009A586B" w:rsidRPr="000E60A3" w:rsidRDefault="009A586B" w:rsidP="00A878E8">
      <w:pPr>
        <w:rPr>
          <w:rFonts w:asciiTheme="majorBidi" w:hAnsiTheme="majorBidi" w:cstheme="majorBidi"/>
          <w:b/>
          <w:bCs/>
          <w:sz w:val="24"/>
          <w:szCs w:val="24"/>
          <w:u w:val="single"/>
        </w:rPr>
      </w:pPr>
      <w:r w:rsidRPr="000E60A3">
        <w:rPr>
          <w:rFonts w:asciiTheme="majorBidi" w:hAnsiTheme="majorBidi" w:cstheme="majorBidi"/>
          <w:b/>
          <w:bCs/>
          <w:sz w:val="24"/>
          <w:szCs w:val="24"/>
          <w:u w:val="single"/>
        </w:rPr>
        <w:t>Exercice 3</w:t>
      </w:r>
    </w:p>
    <w:tbl>
      <w:tblPr>
        <w:tblStyle w:val="Grilledutableau"/>
        <w:tblW w:w="0" w:type="auto"/>
        <w:tblLook w:val="04A0"/>
      </w:tblPr>
      <w:tblGrid>
        <w:gridCol w:w="1384"/>
        <w:gridCol w:w="1701"/>
        <w:gridCol w:w="6127"/>
      </w:tblGrid>
      <w:tr w:rsidR="009A586B" w:rsidRPr="000E60A3" w:rsidTr="000E60A3">
        <w:tc>
          <w:tcPr>
            <w:tcW w:w="1384" w:type="dxa"/>
          </w:tcPr>
          <w:p w:rsidR="009A586B" w:rsidRPr="000E60A3" w:rsidRDefault="009A586B" w:rsidP="009A586B">
            <w:pPr>
              <w:rPr>
                <w:rFonts w:asciiTheme="majorBidi" w:hAnsiTheme="majorBidi" w:cstheme="majorBidi"/>
                <w:b/>
                <w:bCs/>
                <w:sz w:val="24"/>
                <w:szCs w:val="24"/>
              </w:rPr>
            </w:pPr>
            <w:r w:rsidRPr="000E60A3">
              <w:rPr>
                <w:rFonts w:asciiTheme="majorBidi" w:hAnsiTheme="majorBidi" w:cstheme="majorBidi"/>
                <w:b/>
                <w:bCs/>
                <w:sz w:val="24"/>
                <w:szCs w:val="24"/>
              </w:rPr>
              <w:t>Options</w:t>
            </w:r>
          </w:p>
        </w:tc>
        <w:tc>
          <w:tcPr>
            <w:tcW w:w="1701" w:type="dxa"/>
          </w:tcPr>
          <w:p w:rsidR="009A586B" w:rsidRPr="000E60A3" w:rsidRDefault="009A586B" w:rsidP="009A586B">
            <w:pPr>
              <w:rPr>
                <w:rFonts w:asciiTheme="majorBidi" w:hAnsiTheme="majorBidi" w:cstheme="majorBidi"/>
                <w:b/>
                <w:bCs/>
                <w:sz w:val="24"/>
                <w:szCs w:val="24"/>
              </w:rPr>
            </w:pPr>
            <w:r w:rsidRPr="000E60A3">
              <w:rPr>
                <w:rFonts w:asciiTheme="majorBidi" w:hAnsiTheme="majorBidi" w:cstheme="majorBidi"/>
                <w:b/>
                <w:bCs/>
                <w:sz w:val="24"/>
                <w:szCs w:val="24"/>
              </w:rPr>
              <w:t>Réponse correcte</w:t>
            </w:r>
          </w:p>
        </w:tc>
        <w:tc>
          <w:tcPr>
            <w:tcW w:w="6127" w:type="dxa"/>
          </w:tcPr>
          <w:p w:rsidR="009A586B" w:rsidRPr="000E60A3" w:rsidRDefault="009A586B" w:rsidP="009A586B">
            <w:pPr>
              <w:rPr>
                <w:rFonts w:asciiTheme="majorBidi" w:hAnsiTheme="majorBidi" w:cstheme="majorBidi"/>
                <w:b/>
                <w:bCs/>
                <w:sz w:val="24"/>
                <w:szCs w:val="24"/>
              </w:rPr>
            </w:pPr>
            <w:r w:rsidRPr="000E60A3">
              <w:rPr>
                <w:rFonts w:asciiTheme="majorBidi" w:hAnsiTheme="majorBidi" w:cstheme="majorBidi"/>
                <w:b/>
                <w:bCs/>
                <w:sz w:val="24"/>
                <w:szCs w:val="24"/>
              </w:rPr>
              <w:t>Commentaire</w:t>
            </w:r>
          </w:p>
        </w:tc>
      </w:tr>
      <w:tr w:rsidR="009A586B" w:rsidRPr="000E60A3" w:rsidTr="000E60A3">
        <w:tc>
          <w:tcPr>
            <w:tcW w:w="1384"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1C</w:t>
            </w:r>
            <w:proofErr w:type="gramStart"/>
            <w:r w:rsidRPr="000E60A3">
              <w:rPr>
                <w:rFonts w:asciiTheme="majorBidi" w:hAnsiTheme="majorBidi" w:cstheme="majorBidi"/>
                <w:sz w:val="24"/>
                <w:szCs w:val="24"/>
              </w:rPr>
              <w:t>,2E</w:t>
            </w:r>
            <w:proofErr w:type="gramEnd"/>
            <w:r w:rsidRPr="000E60A3">
              <w:rPr>
                <w:rFonts w:asciiTheme="majorBidi" w:hAnsiTheme="majorBidi" w:cstheme="majorBidi"/>
                <w:sz w:val="24"/>
                <w:szCs w:val="24"/>
              </w:rPr>
              <w:t>, 3A</w:t>
            </w:r>
          </w:p>
        </w:tc>
        <w:tc>
          <w:tcPr>
            <w:tcW w:w="1701" w:type="dxa"/>
          </w:tcPr>
          <w:p w:rsidR="009A586B"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Faux. Ce ne sont pas les techniques utilisées ici.</w:t>
            </w:r>
          </w:p>
        </w:tc>
      </w:tr>
      <w:tr w:rsidR="009A586B" w:rsidRPr="000E60A3" w:rsidTr="000E60A3">
        <w:tc>
          <w:tcPr>
            <w:tcW w:w="1384"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1C, 2B, 3F</w:t>
            </w:r>
          </w:p>
        </w:tc>
        <w:tc>
          <w:tcPr>
            <w:tcW w:w="1701" w:type="dxa"/>
          </w:tcPr>
          <w:p w:rsidR="009A586B"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Faux. Ce ne sont pas les techniques utilisées ici.</w:t>
            </w:r>
          </w:p>
        </w:tc>
      </w:tr>
      <w:tr w:rsidR="009A586B" w:rsidRPr="000E60A3" w:rsidTr="000E60A3">
        <w:tc>
          <w:tcPr>
            <w:tcW w:w="1384"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1E, 2A, 3D</w:t>
            </w:r>
          </w:p>
        </w:tc>
        <w:tc>
          <w:tcPr>
            <w:tcW w:w="1701" w:type="dxa"/>
          </w:tcPr>
          <w:p w:rsidR="009A586B" w:rsidRPr="000E60A3" w:rsidRDefault="009A586B" w:rsidP="009A586B">
            <w:pPr>
              <w:pStyle w:val="Paragraphedeliste"/>
              <w:numPr>
                <w:ilvl w:val="0"/>
                <w:numId w:val="1"/>
              </w:numPr>
              <w:rPr>
                <w:rFonts w:asciiTheme="majorBidi" w:hAnsiTheme="majorBidi" w:cstheme="majorBidi"/>
                <w:sz w:val="24"/>
                <w:szCs w:val="24"/>
              </w:rPr>
            </w:pPr>
          </w:p>
        </w:tc>
        <w:tc>
          <w:tcPr>
            <w:tcW w:w="6127" w:type="dxa"/>
          </w:tcPr>
          <w:p w:rsidR="009A586B" w:rsidRPr="000E60A3" w:rsidRDefault="009A586B" w:rsidP="009A586B">
            <w:pPr>
              <w:rPr>
                <w:rFonts w:asciiTheme="majorBidi" w:hAnsiTheme="majorBidi" w:cstheme="majorBidi"/>
                <w:sz w:val="24"/>
                <w:szCs w:val="24"/>
              </w:rPr>
            </w:pPr>
            <w:r w:rsidRPr="000E60A3">
              <w:rPr>
                <w:rFonts w:asciiTheme="majorBidi" w:hAnsiTheme="majorBidi" w:cstheme="majorBidi"/>
                <w:sz w:val="24"/>
                <w:szCs w:val="24"/>
              </w:rPr>
              <w:t>Très bien. Ce sont bien les techniques utilisées pour chaque explication.</w:t>
            </w:r>
          </w:p>
        </w:tc>
      </w:tr>
    </w:tbl>
    <w:p w:rsidR="00A878E8" w:rsidRPr="000E60A3" w:rsidRDefault="000E60A3" w:rsidP="009A586B">
      <w:pPr>
        <w:rPr>
          <w:rFonts w:asciiTheme="majorBidi" w:hAnsiTheme="majorBidi" w:cstheme="majorBidi"/>
          <w:b/>
          <w:bCs/>
          <w:sz w:val="24"/>
          <w:szCs w:val="24"/>
          <w:u w:val="single"/>
        </w:rPr>
      </w:pPr>
      <w:r w:rsidRPr="000E60A3">
        <w:rPr>
          <w:rFonts w:asciiTheme="majorBidi" w:hAnsiTheme="majorBidi" w:cstheme="majorBidi"/>
          <w:b/>
          <w:bCs/>
          <w:sz w:val="24"/>
          <w:szCs w:val="24"/>
          <w:u w:val="single"/>
        </w:rPr>
        <w:t>Exercice 4</w:t>
      </w:r>
    </w:p>
    <w:tbl>
      <w:tblPr>
        <w:tblStyle w:val="Grilledutableau"/>
        <w:tblW w:w="0" w:type="auto"/>
        <w:tblLook w:val="04A0"/>
      </w:tblPr>
      <w:tblGrid>
        <w:gridCol w:w="1384"/>
        <w:gridCol w:w="1701"/>
        <w:gridCol w:w="6127"/>
      </w:tblGrid>
      <w:tr w:rsidR="000E60A3" w:rsidRPr="000E60A3" w:rsidTr="000E60A3">
        <w:tc>
          <w:tcPr>
            <w:tcW w:w="1384" w:type="dxa"/>
          </w:tcPr>
          <w:p w:rsidR="000E60A3" w:rsidRPr="000E60A3" w:rsidRDefault="000E60A3" w:rsidP="009A586B">
            <w:pPr>
              <w:rPr>
                <w:rFonts w:asciiTheme="majorBidi" w:hAnsiTheme="majorBidi" w:cstheme="majorBidi"/>
                <w:b/>
                <w:bCs/>
                <w:sz w:val="24"/>
                <w:szCs w:val="24"/>
              </w:rPr>
            </w:pPr>
            <w:r w:rsidRPr="000E60A3">
              <w:rPr>
                <w:rFonts w:asciiTheme="majorBidi" w:hAnsiTheme="majorBidi" w:cstheme="majorBidi"/>
                <w:b/>
                <w:bCs/>
                <w:sz w:val="24"/>
                <w:szCs w:val="24"/>
              </w:rPr>
              <w:t>Options</w:t>
            </w:r>
          </w:p>
        </w:tc>
        <w:tc>
          <w:tcPr>
            <w:tcW w:w="1701" w:type="dxa"/>
          </w:tcPr>
          <w:p w:rsidR="000E60A3" w:rsidRPr="000E60A3" w:rsidRDefault="000E60A3" w:rsidP="009A586B">
            <w:pPr>
              <w:rPr>
                <w:rFonts w:asciiTheme="majorBidi" w:hAnsiTheme="majorBidi" w:cstheme="majorBidi"/>
                <w:b/>
                <w:bCs/>
                <w:sz w:val="24"/>
                <w:szCs w:val="24"/>
              </w:rPr>
            </w:pPr>
            <w:r w:rsidRPr="000E60A3">
              <w:rPr>
                <w:rFonts w:asciiTheme="majorBidi" w:hAnsiTheme="majorBidi" w:cstheme="majorBidi"/>
                <w:b/>
                <w:bCs/>
                <w:sz w:val="24"/>
                <w:szCs w:val="24"/>
              </w:rPr>
              <w:t>Réponse correcte</w:t>
            </w:r>
          </w:p>
        </w:tc>
        <w:tc>
          <w:tcPr>
            <w:tcW w:w="6127" w:type="dxa"/>
          </w:tcPr>
          <w:p w:rsidR="000E60A3" w:rsidRPr="000E60A3" w:rsidRDefault="000E60A3" w:rsidP="009A586B">
            <w:pPr>
              <w:rPr>
                <w:rFonts w:asciiTheme="majorBidi" w:hAnsiTheme="majorBidi" w:cstheme="majorBidi"/>
                <w:b/>
                <w:bCs/>
                <w:sz w:val="24"/>
                <w:szCs w:val="24"/>
              </w:rPr>
            </w:pPr>
            <w:r w:rsidRPr="000E60A3">
              <w:rPr>
                <w:rFonts w:asciiTheme="majorBidi" w:hAnsiTheme="majorBidi" w:cstheme="majorBidi"/>
                <w:b/>
                <w:bCs/>
                <w:sz w:val="24"/>
                <w:szCs w:val="24"/>
              </w:rPr>
              <w:t>Commentaire</w:t>
            </w:r>
          </w:p>
        </w:tc>
      </w:tr>
      <w:tr w:rsidR="000E60A3" w:rsidRPr="000E60A3" w:rsidTr="000E60A3">
        <w:tc>
          <w:tcPr>
            <w:tcW w:w="1384"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1C, 2F, 3B</w:t>
            </w:r>
          </w:p>
        </w:tc>
        <w:tc>
          <w:tcPr>
            <w:tcW w:w="1701" w:type="dxa"/>
          </w:tcPr>
          <w:p w:rsidR="000E60A3" w:rsidRPr="000E60A3" w:rsidRDefault="000E60A3" w:rsidP="000E60A3">
            <w:pPr>
              <w:pStyle w:val="Paragraphedeliste"/>
              <w:numPr>
                <w:ilvl w:val="0"/>
                <w:numId w:val="1"/>
              </w:numPr>
              <w:rPr>
                <w:rFonts w:asciiTheme="majorBidi" w:hAnsiTheme="majorBidi" w:cstheme="majorBidi"/>
                <w:sz w:val="24"/>
                <w:szCs w:val="24"/>
              </w:rPr>
            </w:pPr>
          </w:p>
        </w:tc>
        <w:tc>
          <w:tcPr>
            <w:tcW w:w="6127"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Très bien. Ce sont bien les techniques utilisées pour chaque explication.</w:t>
            </w:r>
          </w:p>
        </w:tc>
      </w:tr>
      <w:tr w:rsidR="000E60A3" w:rsidRPr="000E60A3" w:rsidTr="000E60A3">
        <w:tc>
          <w:tcPr>
            <w:tcW w:w="1384"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1B, 2A, 3C</w:t>
            </w:r>
          </w:p>
        </w:tc>
        <w:tc>
          <w:tcPr>
            <w:tcW w:w="1701"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Faux. Ce ne sont pas les techniques utilisées ici.</w:t>
            </w:r>
          </w:p>
        </w:tc>
      </w:tr>
      <w:tr w:rsidR="000E60A3" w:rsidRPr="000E60A3" w:rsidTr="000E60A3">
        <w:tc>
          <w:tcPr>
            <w:tcW w:w="1384"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1A, 2D, 3F</w:t>
            </w:r>
          </w:p>
        </w:tc>
        <w:tc>
          <w:tcPr>
            <w:tcW w:w="1701"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 xml:space="preserve">        ×</w:t>
            </w:r>
          </w:p>
        </w:tc>
        <w:tc>
          <w:tcPr>
            <w:tcW w:w="6127" w:type="dxa"/>
          </w:tcPr>
          <w:p w:rsidR="000E60A3" w:rsidRPr="000E60A3" w:rsidRDefault="000E60A3" w:rsidP="009A586B">
            <w:pPr>
              <w:rPr>
                <w:rFonts w:asciiTheme="majorBidi" w:hAnsiTheme="majorBidi" w:cstheme="majorBidi"/>
                <w:sz w:val="24"/>
                <w:szCs w:val="24"/>
              </w:rPr>
            </w:pPr>
            <w:r w:rsidRPr="000E60A3">
              <w:rPr>
                <w:rFonts w:asciiTheme="majorBidi" w:hAnsiTheme="majorBidi" w:cstheme="majorBidi"/>
                <w:sz w:val="24"/>
                <w:szCs w:val="24"/>
              </w:rPr>
              <w:t>Faux. Ce ne sont pas les techniques utilisées ici.</w:t>
            </w:r>
          </w:p>
        </w:tc>
      </w:tr>
    </w:tbl>
    <w:p w:rsidR="0045796D" w:rsidRDefault="0045796D" w:rsidP="009A586B">
      <w:pPr>
        <w:rPr>
          <w:rFonts w:asciiTheme="majorBidi" w:hAnsiTheme="majorBidi" w:cstheme="majorBidi"/>
          <w:sz w:val="24"/>
          <w:szCs w:val="24"/>
        </w:rPr>
      </w:pPr>
    </w:p>
    <w:p w:rsidR="0045796D" w:rsidRDefault="0045796D" w:rsidP="0045796D">
      <w:pPr>
        <w:spacing w:after="0" w:line="240" w:lineRule="auto"/>
        <w:rPr>
          <w:rFonts w:ascii="Times New Roman" w:eastAsia="Times New Roman" w:hAnsi="Times New Roman" w:cs="Times New Roman"/>
          <w:b/>
          <w:bCs/>
          <w:color w:val="000000"/>
          <w:sz w:val="27"/>
          <w:lang w:eastAsia="fr-FR"/>
        </w:rPr>
      </w:pPr>
      <w:r>
        <w:rPr>
          <w:rFonts w:ascii="Times New Roman" w:eastAsia="Times New Roman" w:hAnsi="Times New Roman" w:cs="Times New Roman"/>
          <w:b/>
          <w:bCs/>
          <w:color w:val="000000"/>
          <w:sz w:val="27"/>
          <w:lang w:eastAsia="fr-FR"/>
        </w:rPr>
        <w:t xml:space="preserve">II- </w:t>
      </w:r>
      <w:r w:rsidRPr="0045796D">
        <w:rPr>
          <w:rFonts w:ascii="Times New Roman" w:eastAsia="Times New Roman" w:hAnsi="Times New Roman" w:cs="Times New Roman"/>
          <w:b/>
          <w:bCs/>
          <w:color w:val="000000"/>
          <w:sz w:val="27"/>
          <w:lang w:eastAsia="fr-FR"/>
        </w:rPr>
        <w:t>EXEMPLE DE COMPTE RENDU DE REUNION</w:t>
      </w:r>
      <w:r w:rsidRPr="0045796D">
        <w:rPr>
          <w:rFonts w:ascii="Times New Roman" w:eastAsia="Times New Roman" w:hAnsi="Times New Roman" w:cs="Times New Roman"/>
          <w:color w:val="000000"/>
          <w:sz w:val="27"/>
          <w:szCs w:val="27"/>
          <w:lang w:eastAsia="fr-FR"/>
        </w:rPr>
        <w:br/>
      </w:r>
    </w:p>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b/>
          <w:bCs/>
          <w:color w:val="000000"/>
          <w:sz w:val="27"/>
          <w:lang w:eastAsia="fr-FR"/>
        </w:rPr>
        <w:t>Compte rendu de la réunion de l'équipe de refonte du site intranet, </w:t>
      </w:r>
      <w:r w:rsidRPr="0045796D">
        <w:rPr>
          <w:rFonts w:ascii="Times New Roman" w:eastAsia="Times New Roman" w:hAnsi="Times New Roman" w:cs="Times New Roman"/>
          <w:b/>
          <w:bCs/>
          <w:color w:val="000000"/>
          <w:sz w:val="27"/>
          <w:szCs w:val="27"/>
          <w:lang w:eastAsia="fr-FR"/>
        </w:rPr>
        <w:br/>
      </w:r>
      <w:r w:rsidRPr="0045796D">
        <w:rPr>
          <w:rFonts w:ascii="Times New Roman" w:eastAsia="Times New Roman" w:hAnsi="Times New Roman" w:cs="Times New Roman"/>
          <w:b/>
          <w:bCs/>
          <w:color w:val="000000"/>
          <w:sz w:val="27"/>
          <w:lang w:eastAsia="fr-FR"/>
        </w:rPr>
        <w:t>tenue à la salle 2, le jeudi 13 janvier 2005 à 14 h 30</w:t>
      </w:r>
    </w:p>
    <w:tbl>
      <w:tblPr>
        <w:tblW w:w="0" w:type="auto"/>
        <w:tblCellSpacing w:w="0" w:type="dxa"/>
        <w:tblCellMar>
          <w:left w:w="0" w:type="dxa"/>
          <w:right w:w="0" w:type="dxa"/>
        </w:tblCellMar>
        <w:tblLook w:val="04A0"/>
      </w:tblPr>
      <w:tblGrid>
        <w:gridCol w:w="1875"/>
        <w:gridCol w:w="720"/>
        <w:gridCol w:w="2520"/>
      </w:tblGrid>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Sont présents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w:t>
            </w:r>
            <w:r w:rsidRPr="0045796D">
              <w:rPr>
                <w:rFonts w:ascii="Times New Roman" w:eastAsia="Times New Roman" w:hAnsi="Times New Roman" w:cs="Times New Roman"/>
                <w:sz w:val="24"/>
                <w:szCs w:val="24"/>
                <w:vertAlign w:val="superscript"/>
                <w:lang w:eastAsia="fr-FR"/>
              </w:rPr>
              <w:t>mes</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Karine Arsenault</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Hélène Carbonneau</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Nadine Hamel</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Manon Martineau</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lastRenderedPageBreak/>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MM.</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Martin Lachance</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Éric Lambert</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tc>
      </w:tr>
      <w:tr w:rsidR="0045796D" w:rsidRPr="0045796D" w:rsidTr="0045796D">
        <w:trPr>
          <w:tblCellSpacing w:w="0" w:type="dxa"/>
        </w:trPr>
        <w:tc>
          <w:tcPr>
            <w:tcW w:w="1875"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Est absente :</w:t>
            </w:r>
          </w:p>
        </w:tc>
        <w:tc>
          <w:tcPr>
            <w:tcW w:w="7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w:t>
            </w:r>
            <w:r w:rsidRPr="0045796D">
              <w:rPr>
                <w:rFonts w:ascii="Times New Roman" w:eastAsia="Times New Roman" w:hAnsi="Times New Roman" w:cs="Times New Roman"/>
                <w:sz w:val="24"/>
                <w:szCs w:val="24"/>
                <w:vertAlign w:val="superscript"/>
                <w:lang w:eastAsia="fr-FR"/>
              </w:rPr>
              <w:t>me</w:t>
            </w:r>
          </w:p>
        </w:tc>
        <w:tc>
          <w:tcPr>
            <w:tcW w:w="2520" w:type="dxa"/>
            <w:vAlign w:val="center"/>
            <w:hideMark/>
          </w:tcPr>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xml:space="preserve">Josée </w:t>
            </w:r>
            <w:proofErr w:type="spellStart"/>
            <w:r w:rsidRPr="0045796D">
              <w:rPr>
                <w:rFonts w:ascii="Times New Roman" w:eastAsia="Times New Roman" w:hAnsi="Times New Roman" w:cs="Times New Roman"/>
                <w:sz w:val="24"/>
                <w:szCs w:val="24"/>
                <w:lang w:eastAsia="fr-FR"/>
              </w:rPr>
              <w:t>Morency</w:t>
            </w:r>
            <w:proofErr w:type="spellEnd"/>
          </w:p>
        </w:tc>
      </w:tr>
    </w:tbl>
    <w:p w:rsidR="0045796D" w:rsidRPr="0045796D" w:rsidRDefault="0045796D"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color w:val="000000"/>
          <w:sz w:val="27"/>
          <w:szCs w:val="27"/>
          <w:lang w:eastAsia="fr-FR"/>
        </w:rPr>
        <w:t>La réunion est animée par Hélène Carbonneau.</w:t>
      </w:r>
    </w:p>
    <w:tbl>
      <w:tblPr>
        <w:tblW w:w="5050" w:type="pct"/>
        <w:tblCellSpacing w:w="0" w:type="dxa"/>
        <w:tblCellMar>
          <w:left w:w="0" w:type="dxa"/>
          <w:right w:w="0" w:type="dxa"/>
        </w:tblCellMar>
        <w:tblLook w:val="04A0"/>
      </w:tblPr>
      <w:tblGrid>
        <w:gridCol w:w="10571"/>
      </w:tblGrid>
      <w:tr w:rsidR="00684098" w:rsidRPr="0045796D" w:rsidTr="00684098">
        <w:trPr>
          <w:trHeight w:val="12307"/>
          <w:tblCellSpacing w:w="0" w:type="dxa"/>
        </w:trPr>
        <w:tc>
          <w:tcPr>
            <w:tcW w:w="10571" w:type="dxa"/>
            <w:vAlign w:val="center"/>
            <w:hideMark/>
          </w:tcPr>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b/>
                <w:bCs/>
                <w:sz w:val="24"/>
                <w:szCs w:val="24"/>
                <w:lang w:eastAsia="fr-FR"/>
              </w:rPr>
              <w:t>Ordre du jour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b/>
                <w:bCs/>
                <w:sz w:val="24"/>
                <w:szCs w:val="24"/>
                <w:lang w:eastAsia="fr-FR"/>
              </w:rPr>
              <w:t>Résumé des discussions</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b/>
                <w:bCs/>
                <w:sz w:val="24"/>
                <w:szCs w:val="24"/>
                <w:lang w:eastAsia="fr-FR"/>
              </w:rPr>
              <w:t>Suite à donner - délai</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1 - Adoption de l'ordre du jour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L'ordre du jour est adopté en tenant compte de la modification proposée par Karine : ajout du point « Proposition d'informer le personnel de l'entreprise ».</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2 - Refonte du site : réorganisation de l'information pour certaines sections et ajout de nouvelles sections</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Hélène, au lieu de parler de refonte, préfère plutôt parler de réorganisation du site, puisque son contenu restera sensiblement le même. Il s'agira essentiellement de déplacer certaines sections du site pour permettre une consultation plus rapide. Il y aura aussi ajout d'une foire aux questions (FAQ).</w:t>
            </w:r>
            <w:r w:rsidRPr="0045796D">
              <w:rPr>
                <w:rFonts w:ascii="Times New Roman" w:eastAsia="Times New Roman" w:hAnsi="Times New Roman" w:cs="Times New Roman"/>
                <w:sz w:val="24"/>
                <w:szCs w:val="24"/>
                <w:lang w:eastAsia="fr-FR"/>
              </w:rPr>
              <w:br/>
              <w:t>Nadine fait remarquer qu'on ne pourra pas mettre toutes les questions des employés et employées dans la FAQ. On ne retiendra que les plus courantes.</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3 - Rôle des membres de l'équipe</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Hélène propose la répartition suivante :</w:t>
            </w:r>
          </w:p>
          <w:p w:rsidR="00684098" w:rsidRPr="0045796D" w:rsidRDefault="00684098" w:rsidP="0045796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Josée, Nadine, Éric et Martin s'occuperont de la réorganisation de l'information;</w:t>
            </w:r>
          </w:p>
          <w:p w:rsidR="00684098" w:rsidRPr="0045796D" w:rsidRDefault="00684098" w:rsidP="0045796D">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Karine se joindra à Manon pour la rédaction des questions et réponses de la FAQ. Au préalable, Karine rencontrera quelques membres du personnel pour recenser leurs questions sur le site intranet.</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Josée, Nadine, Éric et Martin : réorganisation</w:t>
            </w:r>
            <w:r w:rsidRPr="0045796D">
              <w:rPr>
                <w:rFonts w:ascii="Times New Roman" w:eastAsia="Times New Roman" w:hAnsi="Times New Roman" w:cs="Times New Roman"/>
                <w:sz w:val="24"/>
                <w:szCs w:val="24"/>
                <w:lang w:eastAsia="fr-FR"/>
              </w:rPr>
              <w:br/>
              <w:t>Karine : rédaction FAQ et tri des questions</w:t>
            </w:r>
            <w:r w:rsidRPr="0045796D">
              <w:rPr>
                <w:rFonts w:ascii="Times New Roman" w:eastAsia="Times New Roman" w:hAnsi="Times New Roman" w:cs="Times New Roman"/>
                <w:sz w:val="24"/>
                <w:szCs w:val="24"/>
                <w:lang w:eastAsia="fr-FR"/>
              </w:rPr>
              <w:br/>
              <w:t>Manon : rédaction FAQ</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4 - Calendrier de travail et étapes à venir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Hélène propose un tableau d'étapes à plusieurs volets, c'est-à-dire un tableau qui comprendrait les tâches, les responsables et les dates.</w:t>
            </w:r>
            <w:r w:rsidRPr="0045796D">
              <w:rPr>
                <w:rFonts w:ascii="Times New Roman" w:eastAsia="Times New Roman" w:hAnsi="Times New Roman" w:cs="Times New Roman"/>
                <w:sz w:val="24"/>
                <w:szCs w:val="24"/>
                <w:lang w:eastAsia="fr-FR"/>
              </w:rPr>
              <w:br/>
              <w:t xml:space="preserve">La fin des travaux pour le site des tests est </w:t>
            </w:r>
            <w:r>
              <w:rPr>
                <w:rFonts w:ascii="Times New Roman" w:eastAsia="Times New Roman" w:hAnsi="Times New Roman" w:cs="Times New Roman"/>
                <w:sz w:val="24"/>
                <w:szCs w:val="24"/>
                <w:lang w:eastAsia="fr-FR"/>
              </w:rPr>
              <w:t xml:space="preserve"> </w:t>
            </w:r>
            <w:r w:rsidRPr="0045796D">
              <w:rPr>
                <w:rFonts w:ascii="Times New Roman" w:eastAsia="Times New Roman" w:hAnsi="Times New Roman" w:cs="Times New Roman"/>
                <w:sz w:val="24"/>
                <w:szCs w:val="24"/>
                <w:lang w:eastAsia="fr-FR"/>
              </w:rPr>
              <w:t>fixée à avril 2005, et le lancement officiel du site refondu devrait se faire en juin 2005.</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Hélène : tableau des tâches - 21 janvier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5 - Proposition d'informer le personnel de l'entreprise</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Manon se charge d'envoyer une note à tous les membres du personnel pour les aviser que le travail en vue de la refonte du site intranet est commencé et pour les informer de la composition de l'équipe qui participe à ce projet ainsi que des responsabilités de chaque membre.</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Manon : note - 18 janvier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6 - Prochaine réunion</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La prochaine réunion est fixée au 8 février.</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 </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7 - Clôture de la séance</w:t>
            </w:r>
          </w:p>
          <w:p w:rsidR="00684098" w:rsidRPr="0045796D" w:rsidRDefault="00684098" w:rsidP="0045796D">
            <w:pPr>
              <w:spacing w:after="0" w:line="240" w:lineRule="auto"/>
              <w:rPr>
                <w:rFonts w:ascii="Times New Roman" w:eastAsia="Times New Roman" w:hAnsi="Times New Roman" w:cs="Times New Roman"/>
                <w:sz w:val="24"/>
                <w:szCs w:val="24"/>
                <w:lang w:eastAsia="fr-FR"/>
              </w:rPr>
            </w:pPr>
            <w:r w:rsidRPr="0045796D">
              <w:rPr>
                <w:rFonts w:ascii="Times New Roman" w:eastAsia="Times New Roman" w:hAnsi="Times New Roman" w:cs="Times New Roman"/>
                <w:sz w:val="24"/>
                <w:szCs w:val="24"/>
                <w:lang w:eastAsia="fr-FR"/>
              </w:rPr>
              <w:t>La séance est levée à 16 h.</w:t>
            </w:r>
          </w:p>
        </w:tc>
      </w:tr>
    </w:tbl>
    <w:p w:rsidR="00684098" w:rsidRDefault="00684098" w:rsidP="009A586B">
      <w:pPr>
        <w:rPr>
          <w:rFonts w:asciiTheme="majorBidi" w:hAnsiTheme="majorBidi" w:cstheme="majorBidi"/>
          <w:sz w:val="24"/>
          <w:szCs w:val="24"/>
        </w:rPr>
      </w:pPr>
    </w:p>
    <w:p w:rsidR="00684098" w:rsidRDefault="00684098" w:rsidP="009A586B">
      <w:pPr>
        <w:rPr>
          <w:rFonts w:asciiTheme="majorBidi" w:hAnsiTheme="majorBidi" w:cstheme="majorBidi"/>
          <w:sz w:val="24"/>
          <w:szCs w:val="24"/>
        </w:rPr>
      </w:pPr>
    </w:p>
    <w:p w:rsidR="00684098" w:rsidRDefault="00684098" w:rsidP="009A586B">
      <w:pPr>
        <w:rPr>
          <w:rFonts w:asciiTheme="majorBidi" w:hAnsiTheme="majorBidi" w:cstheme="majorBidi"/>
          <w:sz w:val="24"/>
          <w:szCs w:val="24"/>
        </w:rPr>
      </w:pPr>
    </w:p>
    <w:p w:rsidR="00684098" w:rsidRDefault="00684098" w:rsidP="009A586B">
      <w:pPr>
        <w:rPr>
          <w:rFonts w:asciiTheme="majorBidi" w:hAnsiTheme="majorBidi" w:cstheme="majorBidi"/>
          <w:sz w:val="24"/>
          <w:szCs w:val="24"/>
        </w:rPr>
      </w:pPr>
    </w:p>
    <w:p w:rsidR="00684098" w:rsidRPr="0033500E" w:rsidRDefault="00684098" w:rsidP="00684098">
      <w:pPr>
        <w:spacing w:after="0" w:line="240" w:lineRule="auto"/>
        <w:rPr>
          <w:rFonts w:ascii="Times New Roman" w:eastAsia="Times New Roman" w:hAnsi="Times New Roman" w:cs="Times New Roman"/>
          <w:b/>
          <w:bCs/>
          <w:color w:val="000000"/>
          <w:sz w:val="32"/>
          <w:szCs w:val="28"/>
          <w:lang w:eastAsia="fr-FR"/>
        </w:rPr>
      </w:pPr>
      <w:r w:rsidRPr="0033500E">
        <w:rPr>
          <w:rFonts w:ascii="Times New Roman" w:eastAsia="Times New Roman" w:hAnsi="Times New Roman" w:cs="Times New Roman"/>
          <w:b/>
          <w:bCs/>
          <w:color w:val="000000"/>
          <w:sz w:val="32"/>
          <w:szCs w:val="28"/>
          <w:lang w:eastAsia="fr-FR"/>
        </w:rPr>
        <w:lastRenderedPageBreak/>
        <w:t>III- Rédiger un Procès Verbal (PV) de réunion</w:t>
      </w:r>
    </w:p>
    <w:p w:rsidR="00684098" w:rsidRDefault="00684098" w:rsidP="00684098">
      <w:pPr>
        <w:spacing w:after="0" w:line="240" w:lineRule="auto"/>
        <w:rPr>
          <w:rFonts w:ascii="Times New Roman" w:eastAsia="Times New Roman" w:hAnsi="Times New Roman" w:cs="Times New Roman"/>
          <w:b/>
          <w:bCs/>
          <w:color w:val="000000"/>
          <w:sz w:val="27"/>
          <w:lang w:eastAsia="fr-FR"/>
        </w:rPr>
      </w:pPr>
    </w:p>
    <w:p w:rsidR="0033500E" w:rsidRDefault="00684098" w:rsidP="00684098">
      <w:pPr>
        <w:spacing w:after="0" w:line="240" w:lineRule="auto"/>
        <w:rPr>
          <w:rFonts w:asciiTheme="majorBidi" w:hAnsiTheme="majorBidi" w:cstheme="majorBidi"/>
          <w:b/>
          <w:bCs/>
          <w:sz w:val="28"/>
          <w:szCs w:val="28"/>
        </w:rPr>
      </w:pPr>
      <w:r w:rsidRPr="0033500E">
        <w:rPr>
          <w:rFonts w:asciiTheme="majorBidi" w:hAnsiTheme="majorBidi" w:cstheme="majorBidi"/>
          <w:b/>
          <w:bCs/>
          <w:sz w:val="28"/>
          <w:szCs w:val="28"/>
        </w:rPr>
        <w:t>1) Définition</w:t>
      </w:r>
    </w:p>
    <w:p w:rsidR="0033500E" w:rsidRPr="0033500E" w:rsidRDefault="0033500E" w:rsidP="00684098">
      <w:pPr>
        <w:spacing w:after="0" w:line="240" w:lineRule="auto"/>
        <w:rPr>
          <w:rFonts w:asciiTheme="majorBidi" w:hAnsiTheme="majorBidi" w:cstheme="majorBidi"/>
          <w:b/>
          <w:bCs/>
          <w:sz w:val="28"/>
          <w:szCs w:val="28"/>
        </w:rPr>
      </w:pPr>
    </w:p>
    <w:p w:rsidR="0033500E" w:rsidRPr="0033500E" w:rsidRDefault="00684098" w:rsidP="00684098">
      <w:pPr>
        <w:spacing w:after="0" w:line="240" w:lineRule="auto"/>
        <w:rPr>
          <w:rFonts w:asciiTheme="majorBidi" w:hAnsiTheme="majorBidi" w:cstheme="majorBidi"/>
          <w:sz w:val="24"/>
          <w:szCs w:val="24"/>
        </w:rPr>
      </w:pPr>
      <w:r w:rsidRPr="0033500E">
        <w:rPr>
          <w:rFonts w:asciiTheme="majorBidi" w:hAnsiTheme="majorBidi" w:cstheme="majorBidi"/>
          <w:sz w:val="24"/>
          <w:szCs w:val="24"/>
        </w:rPr>
        <w:t xml:space="preserve"> Le Procès Verbal (PV) est la rédaction par une personne de ce qu’il a fait, vu et entendu. Il est destiné à faire foi jusqu’à ce qu’il ait la démonstration de la preuve contraire. </w:t>
      </w:r>
    </w:p>
    <w:p w:rsidR="0033500E" w:rsidRDefault="0033500E" w:rsidP="00684098">
      <w:pPr>
        <w:spacing w:after="0" w:line="240" w:lineRule="auto"/>
        <w:rPr>
          <w:rFonts w:asciiTheme="majorBidi" w:hAnsiTheme="majorBidi" w:cstheme="majorBidi"/>
          <w:sz w:val="24"/>
          <w:szCs w:val="24"/>
        </w:rPr>
      </w:pPr>
    </w:p>
    <w:p w:rsidR="0033500E" w:rsidRDefault="00684098" w:rsidP="00684098">
      <w:pPr>
        <w:spacing w:after="0" w:line="240" w:lineRule="auto"/>
        <w:rPr>
          <w:rFonts w:asciiTheme="majorBidi" w:hAnsiTheme="majorBidi" w:cstheme="majorBidi"/>
          <w:b/>
          <w:bCs/>
          <w:sz w:val="28"/>
          <w:szCs w:val="28"/>
        </w:rPr>
      </w:pPr>
      <w:r w:rsidRPr="0033500E">
        <w:rPr>
          <w:rFonts w:asciiTheme="majorBidi" w:hAnsiTheme="majorBidi" w:cstheme="majorBidi"/>
          <w:b/>
          <w:bCs/>
          <w:sz w:val="28"/>
          <w:szCs w:val="28"/>
        </w:rPr>
        <w:t>2) Les Caractéristiques du PV</w:t>
      </w:r>
    </w:p>
    <w:p w:rsidR="0033500E" w:rsidRDefault="0033500E" w:rsidP="00684098">
      <w:pPr>
        <w:spacing w:after="0" w:line="240" w:lineRule="auto"/>
        <w:rPr>
          <w:rFonts w:asciiTheme="majorBidi" w:hAnsiTheme="majorBidi" w:cstheme="majorBidi"/>
          <w:sz w:val="24"/>
          <w:szCs w:val="24"/>
        </w:rPr>
      </w:pPr>
      <w:r w:rsidRPr="0033500E">
        <w:rPr>
          <w:rFonts w:asciiTheme="majorBidi" w:hAnsiTheme="majorBidi" w:cstheme="majorBidi"/>
          <w:b/>
          <w:bCs/>
          <w:sz w:val="28"/>
          <w:szCs w:val="28"/>
        </w:rPr>
        <w:t xml:space="preserve">     </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 Il a une valeur juridique </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Il doit être concis </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Il doit être objectif en évitant les commentaires ou analyses</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 Il est lu à la fin de la réunion dont il témoigne et est soumis à adoption au cas ou le temps ne le permet pas, il est lu en début de réunion prochaine</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 Il est retranscrit sans blanc ni rature dans le cahier de secrétariat</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 Il est signé par le rédacteur avant adoption et par le président de séance et le secrétaire de séance après adoption</w:t>
      </w:r>
      <w:r w:rsidRPr="0033500E">
        <w:rPr>
          <w:rFonts w:asciiTheme="majorBidi" w:hAnsiTheme="majorBidi" w:cstheme="majorBidi"/>
          <w:sz w:val="24"/>
          <w:szCs w:val="24"/>
        </w:rPr>
        <w:t xml:space="preserve">                    </w:t>
      </w:r>
      <w:r>
        <w:rPr>
          <w:rFonts w:asciiTheme="majorBidi" w:hAnsiTheme="majorBidi" w:cstheme="majorBidi"/>
          <w:sz w:val="24"/>
          <w:szCs w:val="24"/>
        </w:rPr>
        <w:t xml:space="preserve">                                                                                                                                                                 </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 Pour une réunion donnée il ne peut résulter qu’un seul procès verbal.</w:t>
      </w:r>
      <w:r w:rsidRPr="0033500E">
        <w:rPr>
          <w:rFonts w:asciiTheme="majorBidi" w:hAnsiTheme="majorBidi" w:cstheme="majorBidi"/>
          <w:sz w:val="24"/>
          <w:szCs w:val="24"/>
        </w:rPr>
        <w:t xml:space="preserve">    </w:t>
      </w:r>
    </w:p>
    <w:p w:rsidR="0033500E" w:rsidRPr="0033500E" w:rsidRDefault="0033500E" w:rsidP="00684098">
      <w:pPr>
        <w:spacing w:after="0" w:line="240" w:lineRule="auto"/>
        <w:rPr>
          <w:rFonts w:asciiTheme="majorBidi" w:hAnsiTheme="majorBidi" w:cstheme="majorBidi"/>
          <w:b/>
          <w:bCs/>
          <w:sz w:val="28"/>
          <w:szCs w:val="28"/>
        </w:rPr>
      </w:pPr>
      <w:r>
        <w:rPr>
          <w:rFonts w:asciiTheme="majorBidi" w:hAnsiTheme="majorBidi" w:cstheme="majorBidi"/>
          <w:sz w:val="24"/>
          <w:szCs w:val="24"/>
        </w:rPr>
        <w:t xml:space="preserve">                                                                               </w:t>
      </w:r>
      <w:r w:rsidRPr="0033500E">
        <w:rPr>
          <w:rFonts w:asciiTheme="majorBidi" w:hAnsiTheme="majorBidi" w:cstheme="majorBidi"/>
          <w:sz w:val="24"/>
          <w:szCs w:val="24"/>
        </w:rPr>
        <w:t xml:space="preserve">                                                                                                                      </w:t>
      </w:r>
      <w:r w:rsidR="00684098" w:rsidRPr="0033500E">
        <w:rPr>
          <w:rFonts w:asciiTheme="majorBidi" w:hAnsiTheme="majorBidi" w:cstheme="majorBidi"/>
          <w:sz w:val="24"/>
          <w:szCs w:val="24"/>
        </w:rPr>
        <w:t xml:space="preserve"> </w:t>
      </w:r>
      <w:r w:rsidR="00684098" w:rsidRPr="0033500E">
        <w:rPr>
          <w:rFonts w:asciiTheme="majorBidi" w:hAnsiTheme="majorBidi" w:cstheme="majorBidi"/>
          <w:b/>
          <w:bCs/>
          <w:sz w:val="28"/>
          <w:szCs w:val="28"/>
        </w:rPr>
        <w:t xml:space="preserve">3) Les Activités </w:t>
      </w:r>
    </w:p>
    <w:p w:rsidR="0033500E" w:rsidRDefault="0033500E" w:rsidP="00684098">
      <w:pPr>
        <w:spacing w:after="0" w:line="240" w:lineRule="auto"/>
        <w:rPr>
          <w:rFonts w:asciiTheme="majorBidi" w:hAnsiTheme="majorBidi" w:cstheme="majorBidi"/>
          <w:sz w:val="24"/>
          <w:szCs w:val="24"/>
        </w:rPr>
      </w:pPr>
    </w:p>
    <w:p w:rsidR="0033500E" w:rsidRPr="0033500E" w:rsidRDefault="00684098" w:rsidP="00684098">
      <w:pPr>
        <w:spacing w:after="0" w:line="240" w:lineRule="auto"/>
        <w:rPr>
          <w:rFonts w:asciiTheme="majorBidi" w:hAnsiTheme="majorBidi" w:cstheme="majorBidi"/>
          <w:sz w:val="24"/>
          <w:szCs w:val="24"/>
        </w:rPr>
      </w:pPr>
      <w:r w:rsidRPr="0033500E">
        <w:rPr>
          <w:rFonts w:asciiTheme="majorBidi" w:hAnsiTheme="majorBidi" w:cstheme="majorBidi"/>
          <w:sz w:val="24"/>
          <w:szCs w:val="24"/>
        </w:rPr>
        <w:t xml:space="preserve">Dans le souci d’une objectivité, tout en énumérant les décisions prises et en évitant les commentaires, le PV correspond aux réunions de Bureaux des instances (CC, BN, BD, BR, BS, BEB). En clair, il correspond à toutes réunions de prises de décisions. </w:t>
      </w:r>
    </w:p>
    <w:p w:rsidR="0033500E" w:rsidRDefault="0033500E" w:rsidP="00684098">
      <w:pPr>
        <w:spacing w:after="0" w:line="240" w:lineRule="auto"/>
        <w:rPr>
          <w:rFonts w:asciiTheme="majorBidi" w:hAnsiTheme="majorBidi" w:cstheme="majorBidi"/>
          <w:sz w:val="24"/>
          <w:szCs w:val="24"/>
        </w:rPr>
      </w:pPr>
    </w:p>
    <w:p w:rsidR="0033500E" w:rsidRPr="0033500E" w:rsidRDefault="00684098" w:rsidP="00684098">
      <w:pPr>
        <w:spacing w:after="0" w:line="240" w:lineRule="auto"/>
        <w:rPr>
          <w:rFonts w:asciiTheme="majorBidi" w:hAnsiTheme="majorBidi" w:cstheme="majorBidi"/>
          <w:b/>
          <w:bCs/>
          <w:sz w:val="28"/>
          <w:szCs w:val="28"/>
        </w:rPr>
      </w:pPr>
      <w:r w:rsidRPr="0033500E">
        <w:rPr>
          <w:rFonts w:asciiTheme="majorBidi" w:hAnsiTheme="majorBidi" w:cstheme="majorBidi"/>
          <w:b/>
          <w:bCs/>
          <w:sz w:val="28"/>
          <w:szCs w:val="28"/>
        </w:rPr>
        <w:t xml:space="preserve">4) Le Plan </w:t>
      </w:r>
    </w:p>
    <w:p w:rsidR="0033500E" w:rsidRDefault="0033500E" w:rsidP="00684098">
      <w:pPr>
        <w:spacing w:after="0" w:line="240" w:lineRule="auto"/>
        <w:rPr>
          <w:rFonts w:asciiTheme="majorBidi" w:hAnsiTheme="majorBidi" w:cstheme="majorBidi"/>
          <w:sz w:val="24"/>
          <w:szCs w:val="24"/>
        </w:rPr>
      </w:pPr>
    </w:p>
    <w:p w:rsidR="00684098" w:rsidRDefault="00684098" w:rsidP="00684098">
      <w:pPr>
        <w:spacing w:after="0" w:line="240" w:lineRule="auto"/>
        <w:rPr>
          <w:rFonts w:asciiTheme="majorBidi" w:hAnsiTheme="majorBidi" w:cstheme="majorBidi"/>
          <w:sz w:val="24"/>
          <w:szCs w:val="24"/>
        </w:rPr>
      </w:pPr>
      <w:r w:rsidRPr="0033500E">
        <w:rPr>
          <w:rFonts w:asciiTheme="majorBidi" w:hAnsiTheme="majorBidi" w:cstheme="majorBidi"/>
          <w:sz w:val="24"/>
          <w:szCs w:val="24"/>
        </w:rPr>
        <w:t xml:space="preserve">- Date, heure (début et fin), lieu de la réunion </w:t>
      </w:r>
      <w:r w:rsidR="0033500E" w:rsidRPr="0033500E">
        <w:rPr>
          <w:rFonts w:asciiTheme="majorBidi" w:hAnsiTheme="majorBidi" w:cstheme="majorBidi"/>
          <w:sz w:val="24"/>
          <w:szCs w:val="24"/>
        </w:rPr>
        <w:t xml:space="preserve">                                                                                                                                                 </w:t>
      </w:r>
      <w:r w:rsidRPr="0033500E">
        <w:rPr>
          <w:rFonts w:asciiTheme="majorBidi" w:hAnsiTheme="majorBidi" w:cstheme="majorBidi"/>
          <w:sz w:val="24"/>
          <w:szCs w:val="24"/>
        </w:rPr>
        <w:t>- Identité complète (noms et responsabilité) des membres de la table de séance</w:t>
      </w:r>
      <w:r w:rsidR="0033500E" w:rsidRPr="0033500E">
        <w:rPr>
          <w:rFonts w:asciiTheme="majorBidi" w:hAnsiTheme="majorBidi" w:cstheme="majorBidi"/>
          <w:sz w:val="24"/>
          <w:szCs w:val="24"/>
        </w:rPr>
        <w:tab/>
      </w:r>
      <w:r w:rsidR="0033500E" w:rsidRPr="0033500E">
        <w:rPr>
          <w:rFonts w:asciiTheme="majorBidi" w:hAnsiTheme="majorBidi" w:cstheme="majorBidi"/>
          <w:sz w:val="24"/>
          <w:szCs w:val="24"/>
        </w:rPr>
        <w:tab/>
      </w:r>
      <w:r w:rsidR="0033500E" w:rsidRPr="0033500E">
        <w:rPr>
          <w:rFonts w:asciiTheme="majorBidi" w:hAnsiTheme="majorBidi" w:cstheme="majorBidi"/>
          <w:sz w:val="24"/>
          <w:szCs w:val="24"/>
        </w:rPr>
        <w:tab/>
      </w:r>
      <w:r w:rsidR="0033500E" w:rsidRPr="0033500E">
        <w:rPr>
          <w:rFonts w:asciiTheme="majorBidi" w:hAnsiTheme="majorBidi" w:cstheme="majorBidi"/>
          <w:sz w:val="24"/>
          <w:szCs w:val="24"/>
        </w:rPr>
        <w:tab/>
        <w:t xml:space="preserve">                          </w:t>
      </w:r>
      <w:r w:rsidRPr="0033500E">
        <w:rPr>
          <w:rFonts w:asciiTheme="majorBidi" w:hAnsiTheme="majorBidi" w:cstheme="majorBidi"/>
          <w:sz w:val="24"/>
          <w:szCs w:val="24"/>
        </w:rPr>
        <w:t xml:space="preserve"> - Inscription complète de l’ordre du jour adopté </w:t>
      </w:r>
      <w:r w:rsidR="0033500E" w:rsidRPr="0033500E">
        <w:rPr>
          <w:rFonts w:asciiTheme="majorBidi" w:hAnsiTheme="majorBidi" w:cstheme="majorBidi"/>
          <w:sz w:val="24"/>
          <w:szCs w:val="24"/>
        </w:rPr>
        <w:t xml:space="preserve">                                                                                                                                                       </w:t>
      </w:r>
      <w:r w:rsidRPr="0033500E">
        <w:rPr>
          <w:rFonts w:asciiTheme="majorBidi" w:hAnsiTheme="majorBidi" w:cstheme="majorBidi"/>
          <w:sz w:val="24"/>
          <w:szCs w:val="24"/>
        </w:rPr>
        <w:t>- Mention des décisions arrêtées par rapport aux points inscrits à l’ordre du jour.</w:t>
      </w:r>
      <w:r w:rsidR="0033500E" w:rsidRPr="0033500E">
        <w:rPr>
          <w:rFonts w:asciiTheme="majorBidi" w:hAnsiTheme="majorBidi" w:cstheme="majorBidi"/>
          <w:sz w:val="24"/>
          <w:szCs w:val="24"/>
        </w:rPr>
        <w:t xml:space="preserve">                                                                                                 </w:t>
      </w:r>
      <w:r w:rsidRPr="0033500E">
        <w:rPr>
          <w:rFonts w:asciiTheme="majorBidi" w:hAnsiTheme="majorBidi" w:cstheme="majorBidi"/>
          <w:sz w:val="24"/>
          <w:szCs w:val="24"/>
        </w:rPr>
        <w:t xml:space="preserve"> - Rappel des points de l’ordre du jour qui n’ont pas pu être abordés ou épuisés</w:t>
      </w:r>
      <w:r w:rsidR="0033500E" w:rsidRPr="0033500E">
        <w:rPr>
          <w:rFonts w:asciiTheme="majorBidi" w:hAnsiTheme="majorBidi" w:cstheme="majorBidi"/>
          <w:sz w:val="24"/>
          <w:szCs w:val="24"/>
        </w:rPr>
        <w:t xml:space="preserve">                                                                                                         </w:t>
      </w:r>
      <w:r w:rsidRPr="0033500E">
        <w:rPr>
          <w:rFonts w:asciiTheme="majorBidi" w:hAnsiTheme="majorBidi" w:cstheme="majorBidi"/>
          <w:sz w:val="24"/>
          <w:szCs w:val="24"/>
        </w:rPr>
        <w:t xml:space="preserve"> - Rappel de l’heure, la date, le lieu et l’ordre du jour de la prochaine réunion</w:t>
      </w:r>
    </w:p>
    <w:p w:rsidR="0033500E" w:rsidRDefault="0033500E" w:rsidP="00684098">
      <w:pPr>
        <w:spacing w:after="0" w:line="240" w:lineRule="auto"/>
        <w:rPr>
          <w:rFonts w:asciiTheme="majorBidi" w:hAnsiTheme="majorBidi" w:cstheme="majorBidi"/>
          <w:sz w:val="24"/>
          <w:szCs w:val="24"/>
        </w:rPr>
      </w:pPr>
    </w:p>
    <w:p w:rsidR="0002122F" w:rsidRPr="00120465" w:rsidRDefault="00120465" w:rsidP="00684098">
      <w:pPr>
        <w:spacing w:after="0" w:line="240" w:lineRule="auto"/>
        <w:rPr>
          <w:rFonts w:asciiTheme="majorBidi" w:hAnsiTheme="majorBidi" w:cstheme="majorBidi"/>
          <w:b/>
          <w:bCs/>
          <w:sz w:val="28"/>
          <w:szCs w:val="28"/>
        </w:rPr>
      </w:pPr>
      <w:r w:rsidRPr="00120465">
        <w:rPr>
          <w:rFonts w:asciiTheme="majorBidi" w:hAnsiTheme="majorBidi" w:cstheme="majorBidi"/>
          <w:b/>
          <w:bCs/>
          <w:sz w:val="28"/>
          <w:szCs w:val="28"/>
        </w:rPr>
        <w:t>Exercice</w:t>
      </w:r>
      <w:r w:rsidR="0002122F" w:rsidRPr="00120465">
        <w:rPr>
          <w:rFonts w:asciiTheme="majorBidi" w:hAnsiTheme="majorBidi" w:cstheme="majorBidi"/>
          <w:b/>
          <w:bCs/>
          <w:sz w:val="28"/>
          <w:szCs w:val="28"/>
        </w:rPr>
        <w:t xml:space="preserve"> : </w:t>
      </w:r>
    </w:p>
    <w:p w:rsidR="0002122F" w:rsidRPr="00120465" w:rsidRDefault="0002122F" w:rsidP="00684098">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Procès verbal </w:t>
      </w:r>
    </w:p>
    <w:p w:rsidR="00120465" w:rsidRDefault="00120465" w:rsidP="00684098">
      <w:pPr>
        <w:spacing w:after="0" w:line="240" w:lineRule="auto"/>
        <w:rPr>
          <w:rFonts w:asciiTheme="majorBidi" w:hAnsiTheme="majorBidi" w:cstheme="majorBidi"/>
          <w:sz w:val="24"/>
          <w:szCs w:val="24"/>
        </w:rPr>
      </w:pPr>
    </w:p>
    <w:p w:rsidR="0002122F" w:rsidRPr="00120465" w:rsidRDefault="0002122F" w:rsidP="00684098">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Rédigez un Procès verbal à partir des informations suivantes : </w:t>
      </w:r>
    </w:p>
    <w:p w:rsidR="00120465" w:rsidRPr="00120465" w:rsidRDefault="0002122F" w:rsidP="00684098">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Date : Samedi 12 janvier 2008.                                                                                                                                                                             Heure de début : 17h30                                                                                                                                                                                                                          Heure de fin : 18h25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Table de séance Modérateur : </w:t>
      </w:r>
      <w:proofErr w:type="spellStart"/>
      <w:r w:rsidRPr="00120465">
        <w:rPr>
          <w:rFonts w:asciiTheme="majorBidi" w:hAnsiTheme="majorBidi" w:cstheme="majorBidi"/>
          <w:sz w:val="24"/>
          <w:szCs w:val="24"/>
        </w:rPr>
        <w:t>Gooré</w:t>
      </w:r>
      <w:proofErr w:type="spellEnd"/>
      <w:r w:rsidRPr="00120465">
        <w:rPr>
          <w:rFonts w:asciiTheme="majorBidi" w:hAnsiTheme="majorBidi" w:cstheme="majorBidi"/>
          <w:sz w:val="24"/>
          <w:szCs w:val="24"/>
        </w:rPr>
        <w:t xml:space="preserve"> </w:t>
      </w:r>
      <w:proofErr w:type="spellStart"/>
      <w:r w:rsidRPr="00120465">
        <w:rPr>
          <w:rFonts w:asciiTheme="majorBidi" w:hAnsiTheme="majorBidi" w:cstheme="majorBidi"/>
          <w:sz w:val="24"/>
          <w:szCs w:val="24"/>
        </w:rPr>
        <w:t>Duverney</w:t>
      </w:r>
      <w:proofErr w:type="spellEnd"/>
      <w:r w:rsidRPr="00120465">
        <w:rPr>
          <w:rFonts w:asciiTheme="majorBidi" w:hAnsiTheme="majorBidi" w:cstheme="majorBidi"/>
          <w:sz w:val="24"/>
          <w:szCs w:val="24"/>
        </w:rPr>
        <w:t>. (Responsable St Jeanne d’Arc)</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 Secrétaire de Séance : </w:t>
      </w:r>
      <w:proofErr w:type="spellStart"/>
      <w:r w:rsidRPr="00120465">
        <w:rPr>
          <w:rFonts w:asciiTheme="majorBidi" w:hAnsiTheme="majorBidi" w:cstheme="majorBidi"/>
          <w:sz w:val="24"/>
          <w:szCs w:val="24"/>
        </w:rPr>
        <w:t>Domigo</w:t>
      </w:r>
      <w:proofErr w:type="spellEnd"/>
      <w:r w:rsidRPr="00120465">
        <w:rPr>
          <w:rFonts w:asciiTheme="majorBidi" w:hAnsiTheme="majorBidi" w:cstheme="majorBidi"/>
          <w:sz w:val="24"/>
          <w:szCs w:val="24"/>
        </w:rPr>
        <w:t xml:space="preserve"> </w:t>
      </w:r>
      <w:proofErr w:type="spellStart"/>
      <w:r w:rsidRPr="00120465">
        <w:rPr>
          <w:rFonts w:asciiTheme="majorBidi" w:hAnsiTheme="majorBidi" w:cstheme="majorBidi"/>
          <w:sz w:val="24"/>
          <w:szCs w:val="24"/>
        </w:rPr>
        <w:t>Réné</w:t>
      </w:r>
      <w:proofErr w:type="spellEnd"/>
      <w:r w:rsidRPr="00120465">
        <w:rPr>
          <w:rFonts w:asciiTheme="majorBidi" w:hAnsiTheme="majorBidi" w:cstheme="majorBidi"/>
          <w:sz w:val="24"/>
          <w:szCs w:val="24"/>
        </w:rPr>
        <w:t xml:space="preserve"> (Secrétaire a l’organisation)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b/>
          <w:bCs/>
          <w:sz w:val="24"/>
          <w:szCs w:val="24"/>
          <w:u w:val="single"/>
        </w:rPr>
        <w:t>Ordre du jour</w:t>
      </w:r>
      <w:r w:rsidRPr="00120465">
        <w:rPr>
          <w:rFonts w:asciiTheme="majorBidi" w:hAnsiTheme="majorBidi" w:cstheme="majorBidi"/>
          <w:sz w:val="24"/>
          <w:szCs w:val="24"/>
        </w:rPr>
        <w:t xml:space="preserve"> : Préparation de l’Action Nationale Divers.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Voici quelques éléments essentiels qui ont été retenu au cours de cette rencontre :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Cibler les établissements pour investigations : </w:t>
      </w:r>
      <w:proofErr w:type="spellStart"/>
      <w:r w:rsidRPr="00120465">
        <w:rPr>
          <w:rFonts w:asciiTheme="majorBidi" w:hAnsiTheme="majorBidi" w:cstheme="majorBidi"/>
          <w:sz w:val="24"/>
          <w:szCs w:val="24"/>
        </w:rPr>
        <w:t>Anador</w:t>
      </w:r>
      <w:proofErr w:type="spellEnd"/>
      <w:r w:rsidRPr="00120465">
        <w:rPr>
          <w:rFonts w:asciiTheme="majorBidi" w:hAnsiTheme="majorBidi" w:cstheme="majorBidi"/>
          <w:sz w:val="24"/>
          <w:szCs w:val="24"/>
        </w:rPr>
        <w:t xml:space="preserve">, St Pierre Marie, </w:t>
      </w:r>
      <w:proofErr w:type="spellStart"/>
      <w:r w:rsidRPr="00120465">
        <w:rPr>
          <w:rFonts w:asciiTheme="majorBidi" w:hAnsiTheme="majorBidi" w:cstheme="majorBidi"/>
          <w:sz w:val="24"/>
          <w:szCs w:val="24"/>
        </w:rPr>
        <w:t>Sebaco</w:t>
      </w:r>
      <w:proofErr w:type="spellEnd"/>
      <w:r w:rsidRPr="00120465">
        <w:rPr>
          <w:rFonts w:asciiTheme="majorBidi" w:hAnsiTheme="majorBidi" w:cstheme="majorBidi"/>
          <w:sz w:val="24"/>
          <w:szCs w:val="24"/>
        </w:rPr>
        <w:t xml:space="preserve">, Carnot, St </w:t>
      </w:r>
      <w:proofErr w:type="spellStart"/>
      <w:r w:rsidRPr="00120465">
        <w:rPr>
          <w:rFonts w:asciiTheme="majorBidi" w:hAnsiTheme="majorBidi" w:cstheme="majorBidi"/>
          <w:sz w:val="24"/>
          <w:szCs w:val="24"/>
        </w:rPr>
        <w:t>Chalmel</w:t>
      </w:r>
      <w:proofErr w:type="spellEnd"/>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 Il faut réaliser des pancartes de sensibilisation pour la prochaine fois que nous réfléchissons tous sur le message de ces pancartes des secrétaires à l’organisation doivent prendre attache avec un calligraphe.</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 - La trésorière doit fournir à la réunion prochaine le budget prévisionnel de l’activité. </w:t>
      </w:r>
    </w:p>
    <w:p w:rsidR="00120465" w:rsidRPr="00120465" w:rsidRDefault="0002122F" w:rsidP="00120465">
      <w:pPr>
        <w:spacing w:after="0" w:line="240" w:lineRule="auto"/>
        <w:rPr>
          <w:rFonts w:asciiTheme="majorBidi" w:hAnsiTheme="majorBidi" w:cstheme="majorBidi"/>
          <w:b/>
          <w:bCs/>
          <w:sz w:val="24"/>
          <w:szCs w:val="24"/>
          <w:u w:val="single"/>
        </w:rPr>
      </w:pPr>
      <w:r w:rsidRPr="00120465">
        <w:rPr>
          <w:rFonts w:asciiTheme="majorBidi" w:hAnsiTheme="majorBidi" w:cstheme="majorBidi"/>
          <w:b/>
          <w:bCs/>
          <w:sz w:val="24"/>
          <w:szCs w:val="24"/>
          <w:u w:val="single"/>
        </w:rPr>
        <w:t xml:space="preserve">Divers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-Cotisation de 200f pour soutenir la caisse </w:t>
      </w:r>
    </w:p>
    <w:p w:rsidR="00120465"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La première visite et formation du Bureau Diocésain la semaine prochaine</w:t>
      </w:r>
    </w:p>
    <w:p w:rsidR="0033500E" w:rsidRPr="00120465" w:rsidRDefault="0002122F" w:rsidP="00120465">
      <w:pPr>
        <w:spacing w:after="0" w:line="240" w:lineRule="auto"/>
        <w:rPr>
          <w:rFonts w:asciiTheme="majorBidi" w:hAnsiTheme="majorBidi" w:cstheme="majorBidi"/>
          <w:sz w:val="24"/>
          <w:szCs w:val="24"/>
        </w:rPr>
      </w:pPr>
      <w:r w:rsidRPr="00120465">
        <w:rPr>
          <w:rFonts w:asciiTheme="majorBidi" w:hAnsiTheme="majorBidi" w:cstheme="majorBidi"/>
          <w:sz w:val="24"/>
          <w:szCs w:val="24"/>
        </w:rPr>
        <w:t xml:space="preserve"> -La </w:t>
      </w:r>
      <w:proofErr w:type="spellStart"/>
      <w:r w:rsidRPr="00120465">
        <w:rPr>
          <w:rFonts w:asciiTheme="majorBidi" w:hAnsiTheme="majorBidi" w:cstheme="majorBidi"/>
          <w:sz w:val="24"/>
          <w:szCs w:val="24"/>
        </w:rPr>
        <w:t>réco</w:t>
      </w:r>
      <w:proofErr w:type="spellEnd"/>
      <w:r w:rsidRPr="00120465">
        <w:rPr>
          <w:rFonts w:asciiTheme="majorBidi" w:hAnsiTheme="majorBidi" w:cstheme="majorBidi"/>
          <w:sz w:val="24"/>
          <w:szCs w:val="24"/>
        </w:rPr>
        <w:t>-détente diocésaine le mois prochain.</w:t>
      </w:r>
    </w:p>
    <w:sectPr w:rsidR="0033500E" w:rsidRPr="00120465" w:rsidSect="004D1A5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33459"/>
    <w:multiLevelType w:val="multilevel"/>
    <w:tmpl w:val="FF2C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6E1C16"/>
    <w:multiLevelType w:val="hybridMultilevel"/>
    <w:tmpl w:val="425C56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878E8"/>
    <w:rsid w:val="0002122F"/>
    <w:rsid w:val="000E60A3"/>
    <w:rsid w:val="00120465"/>
    <w:rsid w:val="0033500E"/>
    <w:rsid w:val="003C170F"/>
    <w:rsid w:val="00450B21"/>
    <w:rsid w:val="0045796D"/>
    <w:rsid w:val="004D1A5D"/>
    <w:rsid w:val="00684098"/>
    <w:rsid w:val="009A586B"/>
    <w:rsid w:val="00A878E8"/>
    <w:rsid w:val="00CA607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2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878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A878E8"/>
    <w:pPr>
      <w:ind w:left="720"/>
      <w:contextualSpacing/>
    </w:pPr>
  </w:style>
  <w:style w:type="character" w:styleId="lev">
    <w:name w:val="Strong"/>
    <w:basedOn w:val="Policepardfaut"/>
    <w:uiPriority w:val="22"/>
    <w:qFormat/>
    <w:rsid w:val="0045796D"/>
    <w:rPr>
      <w:b/>
      <w:bCs/>
    </w:rPr>
  </w:style>
</w:styles>
</file>

<file path=word/webSettings.xml><?xml version="1.0" encoding="utf-8"?>
<w:webSettings xmlns:r="http://schemas.openxmlformats.org/officeDocument/2006/relationships" xmlns:w="http://schemas.openxmlformats.org/wordprocessingml/2006/main">
  <w:divs>
    <w:div w:id="14189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1384</Words>
  <Characters>7615</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ZOM PC</dc:creator>
  <cp:lastModifiedBy>ZOM PC</cp:lastModifiedBy>
  <cp:revision>2</cp:revision>
  <dcterms:created xsi:type="dcterms:W3CDTF">2020-03-24T14:46:00Z</dcterms:created>
  <dcterms:modified xsi:type="dcterms:W3CDTF">2020-03-24T17:37:00Z</dcterms:modified>
</cp:coreProperties>
</file>